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§104-B. Director of the Office of Cannabis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Director of the Office of Cannabis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§104-B. DIRECTOR OF THE OFFICE OF CANNABIS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