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104-C</w:t>
        <w:t xml:space="preserve">.  </w:t>
      </w:r>
      <w:r>
        <w:rPr>
          <w:b/>
        </w:rPr>
        <w:t xml:space="preserve">Rulemaking; consultation</w:t>
      </w:r>
    </w:p>
    <w:p>
      <w:pPr>
        <w:jc w:val="both"/>
        <w:spacing w:before="100" w:after="100"/>
        <w:ind w:start="360"/>
        <w:ind w:firstLine="360"/>
      </w:pPr>
      <w:r>
        <w:rPr/>
      </w:r>
      <w:r>
        <w:rPr/>
      </w:r>
      <w:r>
        <w:t xml:space="preserve">The office may adopt rules necessary to implement, administer and enforce this chapter. Except as otherwise provided in this chapter, all rules adopted pursuant to this chapter are major substantive rules as defined in </w:t>
      </w:r>
      <w:r>
        <w:t>Title 5, chapter 375, subchapter 2‑A</w:t>
      </w:r>
      <w:r>
        <w:t xml:space="preserve">. Notwithstanding </w:t>
      </w:r>
      <w:r>
        <w:t>Title 5, section 8072, subsection 11</w:t>
      </w:r>
      <w:r>
        <w:t xml:space="preserve">, rules provisionally adopted by the office pursuant to this chapter and submitted for legislative review may not be finally adopted by the office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Agriculture, Conservation and Forestry prior to the adoption of rules concerning the regulation of the cultivation, manufacture and testing of adult use cannabis and adult use cannabis products at cultivation facilities, products manufacturing facilities and testing facilities; the regulation of cannabis clones and cannabis plants; the use of pesticides, fungicides and herbicides in cultivation; the imposition of limits on the concentration of THC and other cannabinoids per serving in adult use cannabis products; odor control standards, sanitary standards, refrigeration requirements and storage and warehousing standards for licensees; and the regulation of the preparation, manufacture, testing, labeling and packaging of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Labor prior to the adoption of rules concerning workplace, employment or other labor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Public Safety prior to the adoption of rules concerning public safety or law enforcement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Health and Human Services prior to the adoption of rules concerning public health matters involved in the regulation of adult use cannabis and adult use cannabis products under this chapter, including rules regarding testing, labeling and packaging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§104-C. Rulemaking;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§104-C. Rulemaking;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§104-C. RULEMAKING;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