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Collection and analysis of public health and safety data</w:t>
      </w:r>
    </w:p>
    <w:p>
      <w:pPr>
        <w:jc w:val="both"/>
        <w:spacing w:before="100" w:after="100"/>
        <w:ind w:start="360"/>
        <w:ind w:firstLine="360"/>
      </w:pPr>
      <w:r>
        <w:rPr/>
      </w:r>
      <w:r>
        <w:rPr/>
      </w:r>
      <w:r>
        <w:t xml:space="preserve">The office shall develop programs or initiatives to facilitate the collection and analysis of data regarding the effects of the use of cannabis in the State, including, but not limited to, youth and adult cannabis use; school suspension and discipline relating to the use of cannabis; poison center calls, emergency department visits and hospitalizations relating to the use of or exposure to cannabis; operating under the influence citations or arrests relating to the use of cannabis; motor vehicle accidents, including information on fatalities, relating to the use of cannabis; property crime relating to the regulated and unregulated adult use cannabis markets; and cannabis-related citations or arrests.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Collection and analysis of public health and safety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Collection and analysis of public health and safety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§107. COLLECTION AND ANALYSIS OF PUBLIC HEALTH AND SAFETY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