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Adult Use Cannabis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§1102. ADULT USE CANNABIS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