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Limitation</w:t>
      </w:r>
    </w:p>
    <w:p>
      <w:pPr>
        <w:jc w:val="both"/>
        <w:spacing w:before="100" w:after="100"/>
        <w:ind w:start="360"/>
        <w:ind w:firstLine="360"/>
      </w:pPr>
      <w:r>
        <w:rPr/>
      </w:r>
      <w:r>
        <w:rPr/>
      </w:r>
      <w:r>
        <w:t xml:space="preserve">Notwithstanding any provision of law to the contrary, the Office of Cannabis Policy, established in </w:t>
      </w:r>
      <w:r>
        <w:t>section 104‑A</w:t>
      </w:r>
      <w:r>
        <w:t xml:space="preserve">, may not enforce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