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principal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§22 (AMD).]</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principal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§23 (AMD).]</w:t>
      </w:r>
    </w:p>
    <w:p>
      <w:pPr>
        <w:jc w:val="both"/>
        <w:spacing w:before="100" w:after="100"/>
        <w:ind w:start="360"/>
        <w:ind w:firstLine="360"/>
      </w:pPr>
      <w:r>
        <w:rPr>
          <w:b/>
        </w:rPr>
        <w:t>2</w:t>
        <w:t xml:space="preserve">.  </w:t>
      </w:r>
      <w:r>
        <w:rPr>
          <w:b/>
        </w:rPr>
        <w:t xml:space="preserve">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§24 (RP).]</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office fully and truthfully and complied with all information requests of the office relating to the license application.  A license may not be issued to an applicant that has knowingly or recklessly made any false statement of material fact to the office in applying for a license under this chapter.  The office shall revoke the license of a licensee pursuant to </w:t>
      </w:r>
      <w:r>
        <w:t>subchapter 8</w:t>
      </w:r>
      <w:r>
        <w:t xml:space="preserve"> if, subsequent to the issuance of the license, the office determines that the licensee knowingly or recklessly made a false statement of material fact to the office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General licensing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General licensing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§202. GENERAL LICENSING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