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office for the type of license sought along with the appropriate application fee as determined by the office pursuant to </w:t>
      </w:r>
      <w:r>
        <w:t>section 207</w:t>
      </w:r>
      <w:r>
        <w:t xml:space="preserve">. The office may implement and maintain an online portal to receive applications and accept application fees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§33 (AMD).]</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office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office may not engage in the cultivation, manufacture, testing or sale of adult use cannabis or adult use cannabis products until the office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w:pPr>
        <w:jc w:val="both"/>
        <w:spacing w:before="100" w:after="0"/>
        <w:ind w:start="720"/>
      </w:pPr>
      <w:r>
        <w:rPr/>
        <w:t>B</w:t>
        <w:t xml:space="preserve">.  </w:t>
      </w:r>
      <w:r>
        <w:rPr/>
      </w:r>
      <w:r>
        <w:t xml:space="preserve">A conditional license issued by the office pursuant to this subsection is effective for a period of one year from the date of issuance and may not be renewed.  If a licensee issued a conditional license by the office fails to obtain an active license from the office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§34 (AMD).]</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office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office shall require an applicant that has been issued a conditional license to submit information necessary for the office to determine that the applicant continues to meet all applicable requirements for conditional licensure under this subchapter.  The office may refuse to issue an active license to an applicant if the office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office shall notify the applicant that certification of local authorization has been confirmed and that, in order for the office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B</w:t>
        <w:t xml:space="preserve">.  </w:t>
      </w:r>
      <w:r>
        <w:rPr/>
      </w:r>
      <w:r>
        <w:t xml:space="preserve">The office shall prepare and furnish to applicants, municipalities and the Maine Land Use Planning Commission a certification form by which the municipality may certify to the office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office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office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§35 (AMD).]</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office to an applicant under this chapter is separate and distinct from any other license issued by the office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§36 (AMD).]</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office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PL 2023, c. 679, Pt. B, §§33-37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Application process;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Application process;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§205. APPLICATION PROCESS;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