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§214. INACTIVE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