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Information requests</w:t>
      </w:r>
    </w:p>
    <w:p>
      <w:pPr>
        <w:jc w:val="both"/>
        <w:spacing w:before="100" w:after="100"/>
        <w:ind w:start="360"/>
        <w:ind w:firstLine="360"/>
      </w:pPr>
      <w:r>
        <w:rPr/>
      </w:r>
      <w:r>
        <w:rPr/>
      </w:r>
      <w:r>
        <w:t xml:space="preserve">A municipality may request that the office provide any information obtained by the office pursuant to the provisions of </w:t>
      </w:r>
      <w:r>
        <w:t>subchapter 2</w:t>
      </w:r>
      <w:r>
        <w:t xml:space="preserve"> or </w:t>
      </w:r>
      <w:r>
        <w:t>3</w:t>
      </w:r>
      <w:r>
        <w:t xml:space="preserve"> that the municipality determines necessary for the administration of its local authorization process for cannabis establishments under this subchapter.  Unless the information is confidential pursuant to law or rule, the office, in a timely manner, shall provide the information requested pursuant to this section.  For the purposes of this section, "municipality" has the same meaning as in </w:t>
      </w:r>
      <w:r>
        <w:t>section 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 Information requests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Information requests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§405. INFORMATION REQUESTS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