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or products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§76 (AMD).]</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Title 22, section 569 and, in accordance with rules adopted by the office after consultation with the Department of Health and Human Services, Maine Center for Disease Control and Prevention, which must allow for inspection of the proposed or operational testing facility by the office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office. The office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office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office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office may not renew a provisional testing facility license more than once.</w:t>
      </w:r>
    </w:p>
    <w:p>
      <w:pPr>
        <w:jc w:val="both"/>
        <w:spacing w:before="100" w:after="0"/>
        <w:ind w:start="720"/>
      </w:pPr>
      <w:r>
        <w:rPr/>
      </w:r>
      <w:r>
        <w:rPr/>
      </w:r>
      <w:r>
        <w:t xml:space="preserve">An active full or provisional testing facility license may not be issued by the office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C</w:t>
        <w:t xml:space="preserve">.  </w:t>
      </w:r>
      <w:r>
        <w:rPr/>
      </w:r>
      <w:r>
        <w:t xml:space="preserve">Is determined by the office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§77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office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§43 (COR).]</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§79 (AMD).]</w:t>
      </w:r>
    </w:p>
    <w:p>
      <w:pPr>
        <w:jc w:val="both"/>
        <w:spacing w:before="100" w:after="0"/>
        <w:ind w:start="360"/>
        <w:ind w:firstLine="360"/>
      </w:pPr>
      <w:r>
        <w:rPr>
          <w:b/>
        </w:rPr>
        <w:t>4-A</w:t>
        <w:t xml:space="preserve">.  </w:t>
      </w:r>
      <w:r>
        <w:rPr>
          <w:b/>
        </w:rPr>
        <w:t xml:space="preserve">Retesting for potency.</w:t>
        <w:t xml:space="preserve"> </w:t>
      </w:r>
      <w:r>
        <w:t xml:space="preserve"> </w:t>
      </w:r>
      <w:r>
        <w:t xml:space="preserve">If requested by the licensee, a testing facility may retest for potency a sample of adult use cannabis or an adult use cannabis product from the same batch the testing facility initially tested. The retest for potency may be completed only once after the initial test, and the sample must be from the remaining representative sample of the same batch that was initially received by the testing facility.  The results of the initial test and the retest must be reported by the testing facility in accordance with </w:t>
      </w:r>
      <w:r>
        <w:t>subchapter 6</w:t>
      </w:r>
      <w:r>
        <w:t xml:space="preserve"> and the rules governing testing facilities.  A licensee that chooses to retest for potency shall include the potency values reported for the retest instead of the initial potency value reported by the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§80 (NEW).]</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office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§81 (AMD).]</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§82 (AMD).]</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office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§83 (AMD).]</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office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PL 2023, c. 679, Pt. B, §§76, 77, 79-84 (AMD). RR 2023, c. 2,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Operation of testing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Operation of testing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§503. OPERATION OF TESTING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