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office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§108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and the person signs a visitor entry log provided and maintained by the licensee and is issued a visitor identification badge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w:pPr>
        <w:jc w:val="both"/>
        <w:spacing w:before="100" w:after="0"/>
        <w:ind w:start="360"/>
        <w:ind w:firstLine="360"/>
      </w:pPr>
      <w:r>
        <w:rPr>
          <w:b/>
        </w:rPr>
        <w:t>1-A</w:t>
        <w:t xml:space="preserve">.  </w:t>
      </w:r>
      <w:r>
        <w:rPr>
          <w:b/>
        </w:rPr>
        <w:t xml:space="preserve">Visitors.</w:t>
        <w:t xml:space="preserve"> </w:t>
      </w:r>
      <w:r>
        <w:t xml:space="preserve"> </w:t>
      </w:r>
      <w:r>
        <w:t xml:space="preserve">A licensee may allow a visitor who is not a minor to enter or remain in any limited access area without displaying an individual identification card if the visitor signs a visitor entry log provided and maintained by the licensee, the visitor is issued a visitor identification badge by the licensee and, if the visitor is visiting in a limited access area with immediate access to cannabis or cannabis products, the visitor is accompanied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(NEW).]</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office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PL 2023, c. 679, Pt. B,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Limited access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Limited access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§510. LIMITED ACCESS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