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office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§123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office may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Limitations on signs, advertising and marketing specifically designed to target minors regarding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§124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w:pPr>
        <w:jc w:val="both"/>
        <w:spacing w:before="100" w:after="100"/>
        <w:ind w:start="360"/>
        <w:ind w:firstLine="360"/>
      </w:pPr>
      <w:r>
        <w:rPr>
          <w:b/>
        </w:rPr>
        <w:t>4</w:t>
        <w:t xml:space="preserve">.  </w:t>
      </w:r>
      <w:r>
        <w:rPr>
          <w:b/>
        </w:rPr>
        <w:t xml:space="preserve">Voluntary sign, advertising and marketing approval.</w:t>
        <w:t xml:space="preserve"> </w:t>
      </w:r>
      <w:r>
        <w:t xml:space="preserve"> </w:t>
      </w:r>
      <w:r>
        <w:t xml:space="preserve">A licensee may submit to the office a request for approval of any sign, advertisement or marketing materials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sign, advertisement or marketing materials for which approval is requested; and</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720"/>
      </w:pPr>
      <w:r>
        <w:rPr/>
        <w:t>B</w:t>
        <w:t xml:space="preserve">.  </w:t>
      </w:r>
      <w:r>
        <w:rPr/>
      </w:r>
      <w:r>
        <w:t xml:space="preserve">Any additional information required on the sign, advertisement or marketing materials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360"/>
      </w:pPr>
      <w:r>
        <w:rPr/>
      </w:r>
      <w:r>
        <w:rPr/>
      </w:r>
      <w:r>
        <w:t xml:space="preserve">The office may not refuse to review any voluntary request for approval. The office may deny any sign, advertisement or marketing materials it determines do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sign, advertisement or marketing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PL 2023, c. 679, Pt. B, §§123-125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Signs, advertising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Signs, advertising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§702. SIGNS, ADVERTISING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