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ENFORCEMENT GENERALLY</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29.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