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b/>
        </w:rPr>
        <w:t>(TEXT EFFECTIVE UNTIL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 and</w:t>
      </w:r>
      <w:r>
        <w:t xml:space="preserve">  </w:t>
      </w:r>
      <w:r xmlns:wp="http://schemas.openxmlformats.org/drawingml/2010/wordprocessingDrawing" xmlns:w15="http://schemas.microsoft.com/office/word/2012/wordml">
        <w:rPr>
          <w:rFonts w:ascii="Arial" w:hAnsi="Arial" w:cs="Arial"/>
          <w:sz w:val="22"/>
          <w:szCs w:val="22"/>
        </w:rPr>
        <w:t xml:space="preserve">[PL 2009, c. 447, §27 (AMD).]</w:t>
      </w:r>
    </w:p>
    <w:p>
      <w:pPr>
        <w:jc w:val="both"/>
        <w:spacing w:before="100" w:after="0"/>
        <w:ind w:start="720"/>
      </w:pPr>
      <w:r>
        <w:rPr/>
        <w:t>D</w:t>
        <w:t xml:space="preserve">.  </w:t>
      </w:r>
      <w:r>
        <w:rPr>
          <w:b/>
        </w:rPr>
        <w:t>(TEXT EFFECTIVE 1/01/25)</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b/>
        </w:rPr>
        <w:t>(TEXT EFFECTIVE UNTIL 1/01/25)</w:t>
        <w:t xml:space="preserve"> </w:t>
      </w:r>
      <w:r>
        <w:rPr/>
      </w:r>
      <w:r>
        <w:t xml:space="preserve">Provide maximum safety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b/>
        </w:rPr>
        <w:t>(TEXT EFFECTIVE 1/01/25)</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b/>
        </w:rPr>
        <w:t>(TEXT EFFECTIVE 1/01/25)</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$200 and expires 2 years from the date of issuance.  The renewal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§25 (AMD).]</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PL 2023, c. 634, §25 (AMD).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11.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