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15. INSPECTION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