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EQUIPMENT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jc w:val="both"/>
        <w:spacing w:before="100" w:after="100"/>
        <w:ind w:start="1080" w:hanging="720"/>
      </w:pPr>
      <w:r>
        <w:rPr>
          <w:b/>
        </w:rPr>
        <w:t>§</w:t>
        <w:t>1907</w:t>
        <w:t xml:space="preserve">.  </w:t>
      </w:r>
      <w:r>
        <w:rPr>
          <w:b/>
        </w:rPr>
        <w:t xml:space="preserve">Rear reflectors</w:t>
      </w:r>
    </w:p>
    <w:p>
      <w:pPr>
        <w:jc w:val="both"/>
        <w:spacing w:before="100" w:after="100"/>
        <w:ind w:start="360"/>
        <w:ind w:firstLine="360"/>
      </w:pPr>
      <w:r>
        <w:rPr/>
      </w:r>
      <w:r>
        <w:rPr/>
      </w:r>
      <w:r>
        <w:t xml:space="preserve">A vehicle must be equipped with at least one adequate reflector securely attached to the rear.  The reflector: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Part of rear light.</w:t>
        <w:t xml:space="preserve"> </w:t>
      </w:r>
      <w:r>
        <w:t xml:space="preserve"> </w:t>
      </w:r>
      <w:r>
        <w:t xml:space="preserve">May be a part of the rear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Color.</w:t>
        <w:t xml:space="preserve"> </w:t>
      </w:r>
      <w:r>
        <w:t xml:space="preserve"> </w:t>
      </w:r>
      <w:r>
        <w:t xml:space="preserve">Must be 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Reflection.</w:t>
        <w:t xml:space="preserve"> </w:t>
      </w:r>
      <w:r>
        <w:t xml:space="preserve"> </w:t>
      </w:r>
      <w:r>
        <w:t xml:space="preserve">Must be designed, located and maintained to reflect at night on an unlighted highway, from at least 200 feet, the lawful undimmed headlights of a vehicle approaching from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animal‑drawn vehicles or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170, §1 (AMD). </w:t>
      </w:r>
    </w:p>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jc w:val="both"/>
        <w:spacing w:before="100" w:after="100"/>
        <w:ind w:start="1080" w:hanging="720"/>
      </w:pPr>
      <w:r>
        <w:rPr>
          <w:b/>
        </w:rPr>
        <w:t>§</w:t>
        <w:t>1914</w:t>
        <w:t xml:space="preserve">.  </w:t>
      </w:r>
      <w:r>
        <w:rPr>
          <w:b/>
        </w:rPr>
        <w:t xml:space="preserve">Safety seat belts</w:t>
      </w:r>
    </w:p>
    <w:p>
      <w:pPr>
        <w:jc w:val="both"/>
        <w:spacing w:before="100" w:after="0"/>
        <w:ind w:start="360"/>
        <w:ind w:firstLine="360"/>
      </w:pPr>
      <w:r>
        <w:rPr>
          <w:b/>
        </w:rPr>
        <w:t>1</w:t>
        <w:t xml:space="preserve">.  </w:t>
      </w:r>
      <w:r>
        <w:rPr>
          <w:b/>
        </w:rPr>
        <w:t xml:space="preserve">Safety seat belts required.</w:t>
        <w:t xml:space="preserve"> </w:t>
      </w:r>
      <w:r>
        <w:t xml:space="preserve"> </w:t>
      </w:r>
      <w:r>
        <w:t xml:space="preserve">A person may not buy, sell, lease, trade or transfer from or to a resident at retail a model year 1966 or later motor vehicle, unless that vehicle is equipped with safety seat belts installed for use in the left and right front seats.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jc w:val="center"/>
        <w:ind w:start="360"/>
        <w:spacing w:before="300" w:after="300"/>
      </w:pPr>
      <w:r>
        <w:rPr>
          <w:b/>
        </w:rPr>
        <w:t>SUBCHAPTER</w:t>
        <w:t xml:space="preserve"> </w:t>
        <w:t>2</w:t>
      </w:r>
    </w:p>
    <w:p>
      <w:pPr>
        <w:jc w:val="center"/>
        <w:ind w:start="360"/>
        <w:spacing w:before="300" w:after="300"/>
      </w:pPr>
      <w:r>
        <w:rPr>
          <w:b/>
        </w:rPr>
        <w:t xml:space="preserve">TRUCKS</w:t>
      </w:r>
    </w:p>
    <w:p>
      <w:pPr>
        <w:jc w:val="both"/>
        <w:spacing w:before="100" w:after="100"/>
        <w:ind w:start="1080" w:hanging="720"/>
      </w:pPr>
      <w:r>
        <w:rPr>
          <w:b/>
        </w:rPr>
        <w:t>§</w:t>
        <w:t>1951</w:t>
        <w:t xml:space="preserve">.  </w:t>
      </w:r>
      <w:r>
        <w:rPr>
          <w:b/>
        </w:rPr>
        <w:t xml:space="preserve">Name of owner or lessee displayed</w:t>
      </w:r>
    </w:p>
    <w:p>
      <w:pPr>
        <w:jc w:val="both"/>
        <w:spacing w:before="100" w:after="100"/>
        <w:ind w:start="360"/>
        <w:ind w:firstLine="360"/>
      </w:pPr>
      <w:r>
        <w:rPr/>
      </w:r>
      <w:r>
        <w:rPr/>
      </w:r>
      <w:r>
        <w:t xml:space="preserve">A truck tractor owner or operator shall display on both sides of the truck tractor the name of the owner or lessee in letters that meet the standards set forth in 49 Code of Federal Regulations, </w:t>
      </w:r>
      <w:r>
        <w:t>Section 390</w:t>
      </w:r>
      <w:r>
        <w:t xml:space="preserve">.21T, as amended.</w:t>
      </w:r>
      <w:r>
        <w:t xml:space="preserve">  </w:t>
      </w:r>
      <w:r xmlns:wp="http://schemas.openxmlformats.org/drawingml/2010/wordprocessingDrawing" xmlns:w15="http://schemas.microsoft.com/office/word/2012/wordml">
        <w:rPr>
          <w:rFonts w:ascii="Arial" w:hAnsi="Arial" w:cs="Arial"/>
          <w:sz w:val="22"/>
          <w:szCs w:val="22"/>
        </w:rPr>
        <w:t xml:space="preserve">[PL 2017, c. 165,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165, §7 (AMD). </w:t>
      </w:r>
    </w:p>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jc w:val="center"/>
        <w:ind w:start="360"/>
        <w:spacing w:before="300" w:after="300"/>
      </w:pPr>
      <w:r>
        <w:rPr>
          <w:b/>
        </w:rPr>
        <w:t>SUBCHAPTER</w:t>
        <w:t xml:space="preserve"> </w:t>
        <w:t>3</w:t>
      </w:r>
    </w:p>
    <w:p>
      <w:pPr>
        <w:jc w:val="center"/>
        <w:ind w:start="360"/>
        <w:spacing w:before="300" w:after="300"/>
      </w:pPr>
      <w:r>
        <w:rPr>
          <w:b/>
        </w:rPr>
        <w:t xml:space="preserve">MOTOR VEHICLE EVENT DATA RECORDERS</w:t>
      </w:r>
    </w:p>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jc w:val="both"/>
        <w:spacing w:before="100" w:after="100"/>
        <w:ind w:start="1080" w:hanging="720"/>
      </w:pPr>
      <w:r>
        <w:rPr>
          <w:b/>
        </w:rPr>
        <w:t>§</w:t>
        <w:t>1973</w:t>
        <w:t xml:space="preserve">.  </w:t>
      </w:r>
      <w:r>
        <w:rPr>
          <w:b/>
        </w:rPr>
        <w:t xml:space="preserve">Disclosure by manufacturer</w:t>
      </w:r>
    </w:p>
    <w:p>
      <w:pPr>
        <w:jc w:val="both"/>
        <w:spacing w:before="100" w:after="100"/>
        <w:ind w:start="360"/>
        <w:ind w:firstLine="360"/>
      </w:pPr>
      <w:r>
        <w:rPr/>
      </w:r>
      <w:r>
        <w:rPr/>
      </w:r>
      <w:r>
        <w:t xml:space="preserve">A manufacturer of a new motor vehicle sold or leased in this State that is equipped with one or more event data recorders, including those known as "sensing and diagnostic modules," shall disclose that fact in the owner's manual for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17.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