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§1003. LOANER REGISTRATION CERTIFICATE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