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§104. PENALTY FOR VIOLATION OF PROVISIONS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