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§1402-B. Organ Donation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§1402-B. Organ Donation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§1402-B. ORGAN DONATION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