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1404-A</w:t>
        <w:t xml:space="preserve">.  </w:t>
      </w:r>
      <w:r>
        <w:rPr>
          <w:b/>
        </w:rPr>
        <w:t xml:space="preserve">Deaf or hard-of-hearing designation</w:t>
      </w:r>
    </w:p>
    <w:p>
      <w:pPr>
        <w:jc w:val="both"/>
        <w:spacing w:before="100" w:after="100"/>
        <w:ind w:start="360"/>
        <w:ind w:firstLine="360"/>
      </w:pPr>
      <w:r>
        <w:rPr/>
      </w:r>
      <w:r>
        <w:rPr/>
      </w:r>
      <w:r>
        <w:t xml:space="preserve">The Secretary of State shall, at the request of a person who is deaf or hard-of-hearing, print a driver's license or nondriver identification card with a distinctive marker or code to indicate that the person is deaf or hard-of-hearing.  The Secretary of State may require appropriate documentation that a person is deaf or hard-of-hearing before issuing the driver's license or nondriver identification card.  For purposes of this section, the terms "deaf person" and "hard-of-hearing person" have the same meanings as in </w:t>
      </w:r>
      <w:r>
        <w:t>section 1358,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123, §1 (NEW). PL 2019, c. 397,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§1404-A. Deaf or hard-of-hearing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§1404-A. Deaf or hard-of-hearing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§1404-A. DEAF OR HARD-OF-HEARING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