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1456</w:t>
        <w:t xml:space="preserve">.  </w:t>
      </w:r>
      <w:r>
        <w:rPr>
          <w:b/>
        </w:rPr>
        <w:t xml:space="preserve">Applicability of other laws -- Article VI</w:t>
      </w:r>
    </w:p>
    <w:p>
      <w:pPr>
        <w:jc w:val="both"/>
        <w:spacing w:before="100" w:after="100"/>
        <w:ind w:start="360"/>
        <w:ind w:firstLine="360"/>
      </w:pPr>
      <w:r>
        <w:rPr/>
      </w:r>
      <w:r>
        <w:rPr/>
      </w:r>
      <w:r>
        <w:t xml:space="preserve">Except as expressly required by provisions of this compact, nothing contained herein may be construed to affect the right of any party state to apply any of its other laws related to licenses to drive to any person or circumstance, nor to invalidate or prevent any driver license agreement or other cooperative arrangement between a party state and a nonparty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§1456. Applicability of other laws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§1456. Applicability of other laws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§1456. APPLICABILITY OF OTHER LAWS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