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Powers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Powers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§152. POWERS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