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§159. MOTOR VEHICLE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