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w:t>
        <w:t xml:space="preserve">.  </w:t>
      </w:r>
      <w:r>
        <w:rPr>
          <w:b/>
        </w:rPr>
        <w:t xml:space="preserve">Penalties</w:t>
      </w:r>
    </w:p>
    <w:p>
      <w:pPr>
        <w:jc w:val="both"/>
        <w:spacing w:before="100" w:after="0"/>
        <w:ind w:start="360"/>
        <w:ind w:firstLine="360"/>
      </w:pPr>
      <w:r>
        <w:rPr>
          <w:b/>
        </w:rPr>
        <w:t>1</w:t>
        <w:t xml:space="preserve">.  </w:t>
      </w:r>
      <w:r>
        <w:rPr>
          <w:b/>
        </w:rPr>
        <w:t xml:space="preserve">General penalty.</w:t>
        <w:t xml:space="preserve"> </w:t>
      </w:r>
      <w:r>
        <w:t xml:space="preserve"> </w:t>
      </w:r>
      <w:r>
        <w:t xml:space="preserve">Notwithstanding </w:t>
      </w:r>
      <w:r>
        <w:t>Title 17‑A</w:t>
      </w:r>
      <w:r>
        <w:t xml:space="preserve">, and unless otherwise specified, a violation of this chapter is a Class E crime, punishable by a fine of not less than $25 nor more than $500 or by imprisonment for not more than 30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Traffic infraction.</w:t>
        <w:t xml:space="preserve"> </w:t>
      </w:r>
      <w:r>
        <w:t xml:space="preserve"> </w:t>
      </w:r>
      <w:r>
        <w:t xml:space="preserve">A violation of the rules adopted by the Chief of the State Police pertaining to this subchapter is a traffic infraction subject to a forfeiture of not less than $25 nor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§1770.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