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Turning and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Turning and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§2071. TURNING AND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