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Vehicle with no identification marks</w:t>
      </w:r>
    </w:p>
    <w:p>
      <w:pPr>
        <w:jc w:val="both"/>
        <w:spacing w:before="100" w:after="100"/>
        <w:ind w:start="360"/>
        <w:ind w:firstLine="360"/>
      </w:pPr>
      <w:r>
        <w:rPr/>
      </w:r>
      <w:r>
        <w:rPr/>
      </w:r>
      <w:r>
        <w:t xml:space="preserve">A person commits a Class D crime if that person knowingly buys, sells, receives, disposes of, conceals or possesses a motor vehicle, semitrailer or trailer from which the manufacturer's serial number or other distinguishing number or mark has been removed or altered to conceal or misrepresent the identity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§2105. Vehicle with no identification marks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Vehicle with no identification marks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§2105. VEHICLE WITH NO IDENTIFICATION MARKS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