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2413-A</w:t>
        <w:t xml:space="preserve">.  </w:t>
      </w:r>
      <w:r>
        <w:rPr>
          <w:b/>
        </w:rPr>
        <w:t xml:space="preserve">Motor vehicle violation resulting in death</w:t>
      </w:r>
    </w:p>
    <w:p>
      <w:pPr>
        <w:jc w:val="both"/>
        <w:spacing w:before="100" w:after="0"/>
        <w:ind w:start="360"/>
        <w:ind w:firstLine="360"/>
      </w:pPr>
      <w:r>
        <w:rPr>
          <w:b/>
        </w:rPr>
        <w:t>1</w:t>
        <w:t xml:space="preserve">.  </w:t>
      </w:r>
      <w:r>
        <w:rPr>
          <w:b/>
        </w:rPr>
        <w:t xml:space="preserve">Offense.</w:t>
        <w:t xml:space="preserve"> </w:t>
      </w:r>
      <w:r>
        <w:t xml:space="preserve"> </w:t>
      </w:r>
      <w:r>
        <w:t xml:space="preserve">A person commits the civil violation of motor vehicle violation resulting in death if that person, while operating a motor vehicle and committing a traffic infraction, causes the death of another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182, §1 (NEW).]</w:t>
      </w:r>
    </w:p>
    <w:p>
      <w:pPr>
        <w:jc w:val="both"/>
        <w:spacing w:before="100" w:after="0"/>
        <w:ind w:start="360"/>
        <w:ind w:firstLine="360"/>
      </w:pPr>
      <w:r>
        <w:rPr>
          <w:b/>
        </w:rPr>
        <w:t>2</w:t>
        <w:t xml:space="preserve">.  </w:t>
      </w:r>
      <w:r>
        <w:rPr>
          <w:b/>
        </w:rPr>
        <w:t xml:space="preserve">Pleading and proof.</w:t>
        <w:t xml:space="preserve"> </w:t>
      </w:r>
      <w:r>
        <w:t xml:space="preserve"> </w:t>
      </w:r>
      <w:r>
        <w:t xml:space="preserve">The State must prove that the defendant's committing a traffic infraction while operating a motor vehicle caused the death under </w:t>
      </w:r>
      <w:r>
        <w:t>subsection 1</w:t>
      </w:r>
      <w:r>
        <w:t xml:space="preserve">.  The court shall apply </w:t>
      </w:r>
      <w:r>
        <w:t>Title 17‑A, section 33</w:t>
      </w:r>
      <w:r>
        <w:t xml:space="preserve"> in assessing any causation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182, §1 (NEW).]</w:t>
      </w:r>
    </w:p>
    <w:p>
      <w:pPr>
        <w:jc w:val="both"/>
        <w:spacing w:before="100" w:after="0"/>
        <w:ind w:start="360"/>
        <w:ind w:firstLine="360"/>
      </w:pPr>
      <w:r>
        <w:rPr>
          <w:b/>
        </w:rPr>
        <w:t>3</w:t>
        <w:t xml:space="preserve">.  </w:t>
      </w:r>
      <w:r>
        <w:rPr>
          <w:b/>
        </w:rPr>
        <w:t xml:space="preserve">Penalties.</w:t>
        <w:t xml:space="preserve"> </w:t>
      </w:r>
      <w:r>
        <w:t xml:space="preserve"> </w:t>
      </w:r>
      <w:r>
        <w:t xml:space="preserve">A person who violates this section commits a civil violation for which a fine of not more than $5,000 may be adjudged. Any portion of the fine adjudged may be satisfied by a court-ordered requirement of community service work. The court shall also impose a license suspension of no less than 14 days and up to 4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182,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182,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§2413-A. Motor vehicle violation resulting in death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§2413-A. Motor vehicle violation resulting in death</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§2413-A. MOTOR VEHICLE VIOLATION RESULTING IN DEATH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