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§2458. Suspension or revocation of license, title, registration or fuel use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Suspension or revocation of license, title, registration or fuel use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§2458. SUSPENSION OR REVOCATION OF LICENSE, TITLE, REGISTRATION OR FUEL USE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