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2464</w:t>
        <w:t xml:space="preserve">.  </w:t>
      </w:r>
      <w:r>
        <w:rPr>
          <w:b/>
        </w:rPr>
        <w:t xml:space="preserve">Causing serious bodily injury or death while license is suspended or revoked</w:t>
      </w:r>
    </w:p>
    <w:p>
      <w:pPr>
        <w:jc w:val="both"/>
        <w:spacing w:before="100" w:after="0"/>
        <w:ind w:start="360"/>
        <w:ind w:firstLine="360"/>
      </w:pPr>
      <w:r>
        <w:rPr>
          <w:b/>
        </w:rPr>
        <w:t>1</w:t>
        <w:t xml:space="preserve">.  </w:t>
      </w:r>
      <w:r>
        <w:rPr>
          <w:b/>
        </w:rPr>
        <w:t xml:space="preserve">Accident involving injury; penalty.</w:t>
        <w:t xml:space="preserve"> </w:t>
      </w:r>
      <w:r>
        <w:t xml:space="preserve"> </w:t>
      </w:r>
      <w:r>
        <w:t xml:space="preserve">A person who, while knowingly operating with a suspended or revoked license, in fact causes serious bodily injury as defined in </w:t>
      </w:r>
      <w:r>
        <w:t>Title 17‑A, section 2, subsection 23</w:t>
      </w:r>
      <w:r>
        <w:t xml:space="preserve"> to another person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0"/>
        <w:ind w:start="360"/>
        <w:ind w:firstLine="360"/>
      </w:pPr>
      <w:r>
        <w:rPr>
          <w:b/>
        </w:rPr>
        <w:t>2</w:t>
        <w:t xml:space="preserve">.  </w:t>
      </w:r>
      <w:r>
        <w:rPr>
          <w:b/>
        </w:rPr>
        <w:t xml:space="preserve">Accident involving death; penalty.</w:t>
        <w:t xml:space="preserve"> </w:t>
      </w:r>
      <w:r>
        <w:t xml:space="preserve"> </w:t>
      </w:r>
      <w:r>
        <w:t xml:space="preserve">A person who, while knowingly operating with a suspended or revoked license, in fact causes the death of another person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0"/>
        <w:ind w:start="360"/>
        <w:ind w:firstLine="360"/>
      </w:pPr>
      <w:r>
        <w:rPr>
          <w:b/>
        </w:rPr>
        <w:t>3</w:t>
        <w:t xml:space="preserve">.  </w:t>
      </w:r>
      <w:r>
        <w:rPr>
          <w:b/>
        </w:rPr>
        <w:t xml:space="preserve">Pleading and proof.</w:t>
        <w:t xml:space="preserve"> </w:t>
      </w:r>
      <w:r>
        <w:t xml:space="preserve"> </w:t>
      </w:r>
      <w:r>
        <w:t xml:space="preserve">The State must prove that the defendant's operation of the motor vehicle caused the serious bodily injury under </w:t>
      </w:r>
      <w:r>
        <w:t>subsection 1</w:t>
      </w:r>
      <w:r>
        <w:t xml:space="preserve"> or death under </w:t>
      </w:r>
      <w:r>
        <w:t>subsection 2</w:t>
      </w:r>
      <w:r>
        <w:t xml:space="preserve">.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100"/>
        <w:ind w:start="360"/>
        <w:ind w:firstLine="360"/>
      </w:pPr>
      <w:r>
        <w:rPr>
          <w:b/>
        </w:rPr>
        <w:t>4</w:t>
        <w:t xml:space="preserve">.  </w:t>
      </w:r>
      <w:r>
        <w:rPr>
          <w:b/>
        </w:rPr>
        <w:t xml:space="preserve">License suspension.</w:t>
        <w:t xml:space="preserve"> </w:t>
      </w:r>
      <w:r>
        <w:t xml:space="preserve"> </w:t>
      </w:r>
      <w:r>
        <w:t xml:space="preserve">Upon receipt of notice of conviction, the Secretary of State shall immediately suspend the license of a person who violates </w:t>
      </w:r>
      <w:r>
        <w:t>subsection 1</w:t>
      </w:r>
      <w:r>
        <w:t xml:space="preserve"> or </w:t>
      </w:r>
      <w:r>
        <w:t>2</w:t>
      </w:r>
      <w:r>
        <w:t xml:space="preserve">.  Notwithstanding any provision of law that imposes a period of license suspension shorter than that specified in this subsection, a person who violates this section is subject to the following period of license suspension:</w:t>
      </w:r>
    </w:p>
    <w:p>
      <w:pPr>
        <w:jc w:val="both"/>
        <w:spacing w:before="100" w:after="0"/>
        <w:ind w:start="720"/>
      </w:pPr>
      <w:r>
        <w:rPr/>
        <w:t>A</w:t>
        <w:t xml:space="preserve">.  </w:t>
      </w:r>
      <w:r>
        <w:rPr/>
      </w:r>
      <w:r>
        <w:t xml:space="preserve">For a violation of </w:t>
      </w:r>
      <w:r>
        <w:t>subsection 1</w:t>
      </w:r>
      <w:r>
        <w:t xml:space="preserve">, 5 years; and</w:t>
      </w:r>
      <w:r>
        <w:t xml:space="preserve">  </w:t>
      </w:r>
      <w:r xmlns:wp="http://schemas.openxmlformats.org/drawingml/2010/wordprocessingDrawing" xmlns:w15="http://schemas.microsoft.com/office/word/2012/wordml">
        <w:rPr>
          <w:rFonts w:ascii="Arial" w:hAnsi="Arial" w:cs="Arial"/>
          <w:sz w:val="22"/>
          <w:szCs w:val="22"/>
        </w:rPr>
        <w:t xml:space="preserve">[PL 2005, c. 606, Pt. A, §5 (NEW).]</w:t>
      </w:r>
    </w:p>
    <w:p>
      <w:pPr>
        <w:jc w:val="both"/>
        <w:spacing w:before="100" w:after="0"/>
        <w:ind w:start="720"/>
      </w:pPr>
      <w:r>
        <w:rPr/>
        <w:t>B</w:t>
        <w:t xml:space="preserve">.  </w:t>
      </w:r>
      <w:r>
        <w:rPr/>
      </w:r>
      <w:r>
        <w:t xml:space="preserve">For a violation of </w:t>
      </w:r>
      <w:r>
        <w:t>subsection 2</w:t>
      </w:r>
      <w:r>
        <w:t xml:space="preserve">, 10 years.</w:t>
      </w:r>
      <w:r>
        <w:t xml:space="preserve">  </w:t>
      </w:r>
      <w:r xmlns:wp="http://schemas.openxmlformats.org/drawingml/2010/wordprocessingDrawing" xmlns:w15="http://schemas.microsoft.com/office/word/2012/wordml">
        <w:rPr>
          <w:rFonts w:ascii="Arial" w:hAnsi="Arial" w:cs="Arial"/>
          <w:sz w:val="22"/>
          <w:szCs w:val="22"/>
        </w:rPr>
        <w:t xml:space="preserve">[PL 2005, c. 606, Pt. A, §5 (NEW).]</w:t>
      </w:r>
    </w:p>
    <w:p>
      <w:pPr>
        <w:jc w:val="both"/>
        <w:spacing w:before="100" w:after="0"/>
        <w:ind w:start="360"/>
      </w:pPr>
      <w:r>
        <w:rPr/>
      </w:r>
      <w:r>
        <w:rPr/>
      </w:r>
      <w:r>
        <w:t xml:space="preserve">The period of suspension imposed pursuant to this subsection is consecutive to any suspension previously imposed by the Secretary of State or the court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§2464. Causing serious bodily injury or death while license is suspended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§2464. Causing serious bodily injury or death while license is suspended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§2464. CAUSING SERIOUS BODILY INJURY OR DEATH WHILE LICENSE IS SUSPENDED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