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Conditional or restricted license upon completion of alcohol and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Conditional or restricted license upon completion of alcohol and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§2504. CONDITIONAL OR RESTRICTED LICENSE UPON COMPLETION OF ALCOHOL AND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