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Aggravated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§2558. AGGRAVATED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