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w:t>
        <w:t xml:space="preserve">.  </w:t>
      </w:r>
      <w:r>
        <w:rPr>
          <w:b/>
        </w:rPr>
        <w:t xml:space="preserve">Vehicles reported stolen</w:t>
      </w:r>
    </w:p>
    <w:p>
      <w:pPr>
        <w:jc w:val="both"/>
        <w:spacing w:before="100" w:after="100"/>
        <w:ind w:start="360"/>
        <w:ind w:firstLine="360"/>
      </w:pPr>
      <w:r>
        <w:rPr/>
      </w:r>
      <w:r>
        <w:rPr/>
      </w:r>
      <w:r>
        <w:t xml:space="preserve">When the Secretary of State receives an application for registration of a vehicle previously reported as stolen, the Secretary of State shall notify the owner of that vehicle.  The Secretary of State may withhold registration for further investigation.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§408. Vehicles reported stolen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 Vehicles reported stolen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§408. VEHICLES REPORTED STOLEN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