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Vanity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Vanity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§453. VANITY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