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458-B</w:t>
        <w:t xml:space="preserve">.  </w:t>
      </w:r>
      <w:r>
        <w:rPr>
          <w:b/>
        </w:rPr>
        <w:t xml:space="preserve">Custom vehicles</w:t>
      </w:r>
    </w:p>
    <w:p>
      <w:pPr>
        <w:jc w:val="both"/>
        <w:spacing w:before="100" w:after="100"/>
        <w:ind w:start="360"/>
        <w:ind w:firstLine="360"/>
      </w:pPr>
      <w:r>
        <w:rPr/>
      </w:r>
      <w:r>
        <w:rPr/>
      </w:r>
      <w:r>
        <w:t xml:space="preserve">A custom vehicle may be registered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321, §4 (NEW); PL 2005, c. 321, §6 (AFF).]</w:t>
      </w:r>
    </w:p>
    <w:p>
      <w:pPr>
        <w:jc w:val="both"/>
        <w:spacing w:before="100" w:after="0"/>
        <w:ind w:start="360"/>
        <w:ind w:firstLine="360"/>
      </w:pPr>
      <w:r>
        <w:rPr>
          <w:b/>
        </w:rPr>
        <w:t>1</w:t>
        <w:t xml:space="preserve">.  </w:t>
      </w:r>
      <w:r>
        <w:rPr>
          <w:b/>
        </w:rPr>
        <w:t xml:space="preserve">Registration fee.</w:t>
        <w:t xml:space="preserve"> </w:t>
      </w:r>
      <w:r>
        <w:t xml:space="preserve"> </w:t>
      </w:r>
      <w:r>
        <w:t xml:space="preserve">The fee for the custom vehicle registration plate is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2</w:t>
        <w:t xml:space="preserve">.  </w:t>
      </w:r>
      <w:r>
        <w:rPr>
          <w:b/>
        </w:rPr>
        <w:t xml:space="preserve">Registration plates.</w:t>
        <w:t xml:space="preserve"> </w:t>
      </w:r>
      <w:r>
        <w:t xml:space="preserve"> </w:t>
      </w:r>
      <w:r>
        <w:t xml:space="preserve">The Secretary of State shall issue a registration certificate and a set of custom vehicle registration plates in a 3-number and 3-letter combination sequence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that the body of the custom vehicle resembles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4</w:t>
        <w:t xml:space="preserve">.  </w:t>
      </w:r>
      <w:r>
        <w:rPr>
          <w:b/>
        </w:rPr>
        <w:t xml:space="preserve">Registration.</w:t>
        <w:t xml:space="preserve"> </w:t>
      </w:r>
      <w:r>
        <w:t xml:space="preserve"> </w:t>
      </w:r>
      <w:r>
        <w:t xml:space="preserve">The registration must indicate the year and make that the body of the custom vehicle resembles and must indicate the vehicle has been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5</w:t>
        <w:t xml:space="preserve">.  </w:t>
      </w:r>
      <w:r>
        <w:rPr>
          <w:b/>
        </w:rPr>
        <w:t xml:space="preserve">Vanity plates.</w:t>
        <w:t xml:space="preserve"> </w:t>
      </w:r>
      <w:r>
        <w:t xml:space="preserve"> </w:t>
      </w:r>
      <w:r>
        <w:t xml:space="preserve">The Secretary of State may issue vanity plates in accordance with </w:t>
      </w:r>
      <w:r>
        <w:t>section 453</w:t>
      </w:r>
      <w:r>
        <w:t xml:space="preserve"> and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w:t>
      </w:r>
    </w:p>
    <w:p>
      <w:pPr>
        <w:jc w:val="both"/>
        <w:spacing w:before="100" w:after="0"/>
        <w:ind w:start="360"/>
        <w:ind w:firstLine="360"/>
      </w:pPr>
      <w:r>
        <w:rPr>
          <w:b/>
        </w:rPr>
        <w:t>6</w:t>
        <w:t xml:space="preserve">.  </w:t>
      </w:r>
      <w:r>
        <w:rPr>
          <w:b/>
        </w:rPr>
        <w:t xml:space="preserve">Weight limit.</w:t>
        <w:t xml:space="preserve"> </w:t>
      </w:r>
      <w:r>
        <w:t xml:space="preserve"> </w:t>
      </w:r>
      <w:r>
        <w:t xml:space="preserve">A custom vehicle registration plate may be issued for a motor vehicle that does not exceed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139, §2 (AMD).]</w:t>
      </w:r>
    </w:p>
    <w:p>
      <w:pPr>
        <w:jc w:val="both"/>
        <w:spacing w:before="100" w:after="0"/>
        <w:ind w:start="360"/>
        <w:ind w:firstLine="360"/>
      </w:pPr>
      <w:r>
        <w:rPr>
          <w:b/>
        </w:rPr>
        <w:t>7</w:t>
        <w:t xml:space="preserve">.  </w:t>
      </w:r>
      <w:r>
        <w:rPr>
          <w:b/>
        </w:rPr>
        <w:t xml:space="preserve">Inspection.</w:t>
        <w:t xml:space="preserve"> </w:t>
      </w:r>
      <w:r>
        <w:t xml:space="preserve"> </w:t>
      </w:r>
      <w:r>
        <w:t xml:space="preserve">A custom vehicle is subject to the inspection requirements of </w:t>
      </w:r>
      <w:r>
        <w:t>section 1751</w:t>
      </w:r>
      <w:r>
        <w:t xml:space="preserve">, except that the Chief of the State Police may provide certain exemptions for custom vehicles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§4 (NEW). PL 2005, c. 321, §6 (AFF). PL 2011, c. 139,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§458-B. Custom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§458-B. Custom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§458-B. CUSTOM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