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Manufacturers, dealers, transporters, body shops, transmission shops and garages; special plates</w:t>
      </w:r>
    </w:p>
    <w:p>
      <w:pPr>
        <w:jc w:val="both"/>
        <w:spacing w:before="100" w:after="0"/>
        <w:ind w:start="360"/>
        <w:ind w:firstLine="360"/>
      </w:pPr>
      <w:r>
        <w:rPr>
          <w:b/>
        </w:rPr>
        <w:t>1</w:t>
        <w:t xml:space="preserve">.  </w:t>
      </w:r>
      <w:r>
        <w:rPr>
          <w:b/>
        </w:rPr>
        <w:t xml:space="preserve">Special plates.</w:t>
        <w:t xml:space="preserve"> </w:t>
      </w:r>
      <w:r>
        <w:t xml:space="preserve"> </w:t>
      </w:r>
      <w:r>
        <w:t xml:space="preserve">The Secretary of State may select and issue special distinguishing letters, marks or designs for number plates issued to manufacturers, dealers, holders of transporter registration certificates and owners of body shops, transmission shops or garages.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§1 (AMD).]</w:t>
      </w:r>
    </w:p>
    <w:p>
      <w:pPr>
        <w:jc w:val="both"/>
        <w:spacing w:before="100" w:after="100"/>
        <w:ind w:start="360"/>
        <w:ind w:firstLine="360"/>
      </w:pPr>
      <w:r>
        <w:rPr>
          <w:b/>
        </w:rPr>
        <w:t>2</w:t>
        <w:t xml:space="preserve">.  </w:t>
      </w:r>
      <w:r>
        <w:rPr>
          <w:b/>
        </w:rPr>
        <w:t xml:space="preserve">Special vanity plates.</w:t>
        <w:t xml:space="preserve"> </w:t>
      </w:r>
      <w:r>
        <w:t xml:space="preserve"> </w:t>
      </w:r>
      <w:r>
        <w:t xml:space="preserve">A car dealer or an owner of a body shop, transmission shop or garage may apply for special vanity registration plates that may bear letters or combinations of letters and numbers that are approved by the Secretary of State or a designee.  A plate may not be duplicated by other licensed vehicle dealers, body shops, transmission shops or garages.  These special vanity plates may not be used to supplement existing registration numbers assigned.</w:t>
      </w:r>
    </w:p>
    <w:p>
      <w:pPr>
        <w:jc w:val="both"/>
        <w:spacing w:before="100" w:after="0"/>
        <w:ind w:start="360"/>
      </w:pPr>
      <w:r>
        <w:rPr/>
      </w:r>
      <w:r>
        <w:rPr/>
      </w:r>
      <w:r>
        <w:t xml:space="preserve">The Secretary of State shall charge an additional $30 fee per plate issued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 Manufacturers, dealers, transporters, body shops, transmission shops and garages; special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Manufacturers, dealers, transporters, body shops, transmission shops and garages; special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§459. MANUFACTURERS, DEALERS, TRANSPORTERS, BODY SHOPS, TRANSMISSION SHOPS AND GARAGES; SPECIAL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