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634, §6 (RP).]</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§6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PL 2023, c. 634,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Fees for registration;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Fees for registration;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§501. FEES FOR REGISTRATION;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