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Short title; construction</w:t>
      </w:r>
    </w:p>
    <w:p>
      <w:pPr>
        <w:jc w:val="both"/>
        <w:spacing w:before="100" w:after="100"/>
        <w:ind w:start="360"/>
        <w:ind w:firstLine="360"/>
      </w:pPr>
      <w:r>
        <w:rPr/>
      </w:r>
      <w:r>
        <w:rPr/>
      </w:r>
      <w:r>
        <w:t xml:space="preserve">This chapter may be cited as the "Maine Motor Vehicle Certificate of Title and Antitheft 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This chapter must be construed to effectuate its general purpose and to make it uniform with similar laws of other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Short title;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Short title;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§601. SHORT TITLE;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