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 Refusal of certificate of title or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Refusal of certificate of title or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§660. REFUSAL OF CERTIFICATE OF TITLE OR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