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Suspension and revocation</w:t>
      </w:r>
    </w:p>
    <w:p>
      <w:pPr>
        <w:jc w:val="both"/>
        <w:spacing w:before="100" w:after="100"/>
        <w:ind w:start="360"/>
        <w:ind w:firstLine="360"/>
      </w:pPr>
      <w:r>
        <w:rPr/>
      </w:r>
      <w:r>
        <w:rPr/>
      </w:r>
      <w:r>
        <w:t xml:space="preserve">Notwithstanding </w:t>
      </w:r>
      <w:r>
        <w:t>Title 4, section 152, subsection 9</w:t>
      </w:r>
      <w:r>
        <w:t xml:space="preserve"> and </w:t>
      </w:r>
      <w:r>
        <w:t>Title 5, sections 10003</w:t>
      </w:r>
      <w:r>
        <w:t xml:space="preserve"> and </w:t>
      </w:r>
      <w:r>
        <w:t>10051</w:t>
      </w:r>
      <w:r>
        <w:t xml:space="preserve">, the Secretary of State may suspend, revoke or deny any license, registration or renewal issued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1999, c. 547, Pt. B, §47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547, §B47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§853. Suspension and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Suspension and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§853. SUSPENSION AND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