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 SPECIAL DEALER LICENSES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