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§957. LICENSING OF LOCATIONS OTHER THAN PRIMARY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