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MOTOR VEHICLE EXAMINATIONS AND INSPECTIONS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jc w:val="both"/>
        <w:spacing w:before="100" w:after="100"/>
        <w:ind w:start="1080" w:hanging="720"/>
      </w:pPr>
      <w:r>
        <w:rPr>
          <w:b/>
        </w:rPr>
        <w:t>§</w:t>
        <w:t>2506-A</w:t>
        <w:t xml:space="preserve">.  </w:t>
      </w:r>
      <w:r>
        <w:rPr>
          <w:b/>
        </w:rPr>
        <w:t xml:space="preserve">Inspection of fire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 (NEW). PL 1993, c. 683, §A1 (RP). PL 1993, c. 683, §B5 (AFF). </w:t>
      </w:r>
    </w:p>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jc w:val="both"/>
        <w:spacing w:before="100" w:after="100"/>
        <w:ind w:start="1080" w:hanging="720"/>
      </w:pPr>
      <w:r>
        <w:rPr>
          <w:b/>
        </w:rPr>
        <w:t>§</w:t>
        <w:t>2522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1991, c. 388, §14 (RPR). PL 1993, c. 417, §9 (AMD). PL 1993, c. 683, §A1 (RP). PL 1993, c. 683, §B5 (AFF). </w:t>
      </w:r>
    </w:p>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EXAMINATIONS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EXAMINATIONS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22. MOTOR VEHICLE EXAMINATIONS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