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jc w:val="both"/>
        <w:spacing w:before="100" w:after="100"/>
        <w:ind w:start="1080" w:hanging="720"/>
      </w:pPr>
      <w:r>
        <w:rPr>
          <w:b/>
        </w:rPr>
        <w:t>§</w:t>
        <w:t>507-A</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338, §3 (NEW). PL 1983, c. 819, §A5 (AMD). PL 1989, c. 483, §A3 (RP). </w:t>
      </w:r>
    </w:p>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jc w:val="both"/>
        <w:spacing w:before="100" w:after="100"/>
        <w:ind w:start="1080" w:hanging="720"/>
      </w:pPr>
      <w:r>
        <w:rPr>
          <w:b/>
        </w:rPr>
        <w:t>§</w:t>
        <w:t>508</w:t>
        <w:t xml:space="preserve">.  </w:t>
      </w:r>
      <w:r>
        <w:rPr>
          <w:b/>
        </w:rPr>
        <w:t xml:space="preserve">Future or reorganized departments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509</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JUSTIFICATION OF STATE GOVERNMENT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JUSTIFICATION OF STATE GOVERNMENT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23. JUSTIFICATION OF STATE GOVERNMENT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