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w:t>
        <w:t xml:space="preserve">.  </w:t>
      </w:r>
      <w:r>
        <w:rPr>
          <w:b/>
        </w:rPr>
        <w:t xml:space="preserve">Funds</w:t>
      </w:r>
    </w:p>
    <w:p>
      <w:pPr>
        <w:jc w:val="both"/>
        <w:spacing w:before="100" w:after="100"/>
        <w:ind w:start="360"/>
        <w:ind w:firstLine="360"/>
      </w:pPr>
      <w:r>
        <w:rPr/>
      </w:r>
      <w:r>
        <w:rPr/>
      </w:r>
      <w:r>
        <w:t xml:space="preserve">Funds from the Federal Government, state appropriation, or from any individual, group, foundation, corporation or other private source may be accepted by the Maine-Canadian Legislative Advisory Office and expended for purposes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§226.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