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41-A</w:t>
        <w:t xml:space="preserve">.  </w:t>
      </w:r>
      <w:r>
        <w:rPr>
          <w:b/>
        </w:rPr>
        <w:t xml:space="preserve">Speaker of House of Representatives; term limitation</w:t>
      </w:r>
    </w:p>
    <w:p>
      <w:pPr>
        <w:jc w:val="both"/>
        <w:spacing w:before="100" w:after="100"/>
        <w:ind w:start="360"/>
        <w:ind w:firstLine="360"/>
      </w:pPr>
      <w:r>
        <w:rPr/>
      </w:r>
      <w:r>
        <w:rPr/>
      </w:r>
      <w:r>
        <w:t xml:space="preserve">A person may not serve as Speaker of the House of Representatives for more than 3 consecutive legislative bienniums.  Service in that capacity before December 2, 1992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403, §2 (NEW); PL 1993, c. 403,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403, §2 (NEW). PL 1993, c. 403,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§41-A. Speaker of House of Representatives; term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§41-A. Speaker of House of Representatives; term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§41-A. SPEAKER OF HOUSE OF REPRESENTATIVES; TERM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