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Oversight of expenditures</w:t>
      </w:r>
    </w:p>
    <w:p>
      <w:pPr>
        <w:jc w:val="both"/>
        <w:spacing w:before="100" w:after="100"/>
        <w:ind w:start="360"/>
        <w:ind w:firstLine="360"/>
      </w:pPr>
      <w:r>
        <w:rPr/>
      </w:r>
      <w:r>
        <w:rPr/>
      </w:r>
      <w:r>
        <w:t xml:space="preserve">The Legislative Council shall provide oversight of expenditures for legislative investigating committees in the same manner as it provides oversight of joint select committees pursuant to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Oversight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Oversight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§414. OVERSIGHT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