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Pertinency of requested testimony</w:t>
      </w:r>
    </w:p>
    <w:p>
      <w:pPr>
        <w:jc w:val="both"/>
        <w:spacing w:before="100" w:after="100"/>
        <w:ind w:start="360"/>
        <w:ind w:firstLine="360"/>
      </w:pPr>
      <w:r>
        <w:rPr/>
      </w:r>
      <w:r>
        <w:rPr/>
      </w:r>
      <w:r>
        <w:t xml:space="preserve">The witness or the witness's counsel may challenge any request for the witness's testimony as not pertinent to the subject matter and scope of the investigation, in which case the relation believed to exist between the request and the subject matter and scope of the investigation must be explained.</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Pertinency of requested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Pertinency of requested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§453. PERTINENCY OF REQUESTED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