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Saving clause</w:t>
      </w:r>
    </w:p>
    <w:p>
      <w:pPr>
        <w:jc w:val="both"/>
        <w:spacing w:before="100" w:after="100"/>
        <w:ind w:start="360"/>
        <w:ind w:firstLine="360"/>
      </w:pPr>
      <w:r>
        <w:rPr/>
      </w:r>
      <w:r>
        <w:rPr/>
      </w:r>
      <w:r>
        <w:t xml:space="preserve">A decision by a witness to make use of any protection or remedy afforded by any provision of these rules does not constitute a waiver by the witness of the right to make use of any other protection or remedy.</w:t>
      </w:r>
      <w:r>
        <w:t xml:space="preserve">  </w:t>
      </w:r>
      <w:r xmlns:wp="http://schemas.openxmlformats.org/drawingml/2010/wordprocessingDrawing" xmlns:w15="http://schemas.microsoft.com/office/word/2012/wordml">
        <w:rPr>
          <w:rFonts w:ascii="Arial" w:hAnsi="Arial" w:cs="Arial"/>
          <w:sz w:val="22"/>
          <w:szCs w:val="22"/>
        </w:rPr>
        <w:t xml:space="preserve">[PL 2013, c. 424,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2013, c. 424,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§474.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