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Designees; notification to Secretary of State</w:t>
      </w:r>
    </w:p>
    <w:p>
      <w:pPr>
        <w:jc w:val="both"/>
        <w:spacing w:before="100" w:after="100"/>
        <w:ind w:start="360"/>
        <w:ind w:firstLine="360"/>
      </w:pPr>
      <w:r>
        <w:rPr/>
      </w:r>
      <w:r>
        <w:rPr/>
      </w:r>
      <w:r>
        <w:t xml:space="preserve">The Chief of the Penobscot Nation and the Chief of the Houlton Band of Maliseet Indians may each designate, and the Chief of the Passamaquoddy Tribe at Sipayik and the Chief of the Passamaquoddy Tribe at Motahkomikuk may jointly designate, by name and title, a person to whom the Secretary of State must send any notices required under </w:t>
      </w:r>
      <w:r>
        <w:t>section 601, subsection 3</w:t>
      </w:r>
      <w:r>
        <w:t xml:space="preserve"> and who is authorized to certify an agreement to legislation in accordance with </w:t>
      </w:r>
      <w:r>
        <w:t>section 601, subsection 4</w:t>
      </w:r>
      <w:r>
        <w:t xml:space="preserve">. The designation, if any, must be in writing and filed with the Secretary of State.  The Secretary of State shall transmit certified copies of each designation to the Secretary of the Senate, the Clerk of the House of Representatives and the Revisor of Statutes.  A designation remains in effect until the Chief of the Penobscot Nation or the Chief of the Houlton Band of Maliseet Indians rescinds the designation or makes a new designation or until the Chief of the Passamaquoddy Tribe at Sipayik and the Chief of the Passamaquoddy Tribe at Motahkomikuk jointly rescind the designation or jointly make a new designation.</w:t>
      </w:r>
      <w:r>
        <w:t xml:space="preserve">  </w:t>
      </w:r>
      <w:r xmlns:wp="http://schemas.openxmlformats.org/drawingml/2010/wordprocessingDrawing" xmlns:w15="http://schemas.microsoft.com/office/word/2012/wordml">
        <w:rPr>
          <w:rFonts w:ascii="Arial" w:hAnsi="Arial" w:cs="Arial"/>
          <w:sz w:val="22"/>
          <w:szCs w:val="22"/>
        </w:rPr>
        <w:t xml:space="preserve">[PL 2023, c. 620,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497, §1 (NEW). PL 1985, c. 672, §§1,4 (AMD). PL 2023, c. 620, Pt. A,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Designees; notification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Designees; notification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§602. DESIGNEES; NOTIFICATION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