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Investments</w:t>
      </w:r>
    </w:p>
    <w:p>
      <w:pPr>
        <w:jc w:val="both"/>
        <w:spacing w:before="100" w:after="100"/>
        <w:ind w:start="360"/>
        <w:ind w:firstLine="360"/>
      </w:pPr>
      <w:r>
        <w:rPr/>
      </w:r>
      <w:r>
        <w:rPr/>
      </w:r>
      <w:r>
        <w:t xml:space="preserve">The board of trustees may combine funds from the Legislative Retirement Program and the assets of other programs of the Maine Public Employees Retirement System for investment purposes. The assets and funds of other programs of the Maine Public Employees Retirement System and the assets and funds of the Legislative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§754.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